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BD" w:rsidRDefault="00DB78BD" w:rsidP="00DB78BD">
      <w:pPr>
        <w:jc w:val="center"/>
      </w:pPr>
      <w:r>
        <w:t>MISO TOs Annual Rate Update</w:t>
      </w:r>
    </w:p>
    <w:p w:rsidR="00DB78BD" w:rsidRDefault="00DB78BD" w:rsidP="00DB78BD">
      <w:pPr>
        <w:jc w:val="center"/>
      </w:pPr>
      <w:r>
        <w:t>Accounting Changes</w:t>
      </w:r>
    </w:p>
    <w:p w:rsidR="00DB78BD" w:rsidRDefault="00DB78BD" w:rsidP="00DB78BD">
      <w:pPr>
        <w:jc w:val="center"/>
      </w:pPr>
    </w:p>
    <w:p w:rsidR="00DB78BD" w:rsidRDefault="00DB78BD" w:rsidP="00DB78B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4788"/>
      </w:tblGrid>
      <w:tr w:rsidR="00DB78BD" w:rsidTr="00DB78BD">
        <w:tc>
          <w:tcPr>
            <w:tcW w:w="1728" w:type="dxa"/>
          </w:tcPr>
          <w:p w:rsidR="00DB78BD" w:rsidRDefault="00DB78BD" w:rsidP="00DB78BD">
            <w:r>
              <w:t>Company:</w:t>
            </w:r>
          </w:p>
        </w:tc>
        <w:tc>
          <w:tcPr>
            <w:tcW w:w="4788" w:type="dxa"/>
          </w:tcPr>
          <w:p w:rsidR="00DB78BD" w:rsidRDefault="00DB78BD" w:rsidP="007E08B5">
            <w:r>
              <w:t xml:space="preserve">Entergy Services filing on behalf of EAI, EGSL, </w:t>
            </w:r>
            <w:r w:rsidR="007E08B5">
              <w:t xml:space="preserve">ELL, EMI, ENOI, and </w:t>
            </w:r>
            <w:r>
              <w:t>ETI</w:t>
            </w:r>
          </w:p>
        </w:tc>
      </w:tr>
      <w:tr w:rsidR="00DB78BD" w:rsidTr="00DB78BD">
        <w:tc>
          <w:tcPr>
            <w:tcW w:w="1728" w:type="dxa"/>
          </w:tcPr>
          <w:p w:rsidR="00DB78BD" w:rsidRDefault="00DB78BD" w:rsidP="00DB78BD">
            <w:r>
              <w:t>Test Year:</w:t>
            </w:r>
          </w:p>
        </w:tc>
        <w:tc>
          <w:tcPr>
            <w:tcW w:w="4788" w:type="dxa"/>
          </w:tcPr>
          <w:p w:rsidR="00DB78BD" w:rsidRDefault="00DB78BD" w:rsidP="00DB78BD">
            <w:r>
              <w:t>December 2013</w:t>
            </w:r>
          </w:p>
        </w:tc>
      </w:tr>
    </w:tbl>
    <w:p w:rsidR="00DB78BD" w:rsidRDefault="00DB78BD" w:rsidP="00DB78BD"/>
    <w:p w:rsidR="00DB78BD" w:rsidRDefault="00DB78BD" w:rsidP="00DB78BD">
      <w:pPr>
        <w:autoSpaceDE w:val="0"/>
        <w:autoSpaceDN w:val="0"/>
        <w:adjustRightInd w:val="0"/>
        <w:ind w:left="630" w:hanging="630"/>
        <w:jc w:val="both"/>
        <w:rPr>
          <w:szCs w:val="24"/>
        </w:rPr>
      </w:pPr>
      <w:r w:rsidRPr="00471EC9">
        <w:rPr>
          <w:szCs w:val="24"/>
        </w:rPr>
        <w:t>II.D.8</w:t>
      </w:r>
      <w:r>
        <w:rPr>
          <w:szCs w:val="24"/>
        </w:rPr>
        <w:t>.</w:t>
      </w:r>
      <w:r>
        <w:rPr>
          <w:szCs w:val="24"/>
        </w:rPr>
        <w:tab/>
        <w:t>With respect to any change in accounting that affects inputs to the formula rate or the resulting charges billed under the formula rate (“Accounting Change”):</w:t>
      </w:r>
    </w:p>
    <w:p w:rsidR="00DB78BD" w:rsidRDefault="004666CE" w:rsidP="004666CE">
      <w:pPr>
        <w:ind w:left="630"/>
      </w:pPr>
      <w:r>
        <w:rPr>
          <w:szCs w:val="24"/>
        </w:rPr>
        <w:t>a.</w:t>
      </w:r>
      <w:r>
        <w:rPr>
          <w:szCs w:val="24"/>
        </w:rPr>
        <w:tab/>
        <w:t>Identify any Accounting Changes, including</w:t>
      </w:r>
    </w:p>
    <w:p w:rsidR="00DB78BD" w:rsidRDefault="00DB78BD" w:rsidP="00DB78BD"/>
    <w:tbl>
      <w:tblPr>
        <w:tblStyle w:val="TableGrid"/>
        <w:tblW w:w="8010" w:type="dxa"/>
        <w:tblInd w:w="1548" w:type="dxa"/>
        <w:tblLook w:val="04A0" w:firstRow="1" w:lastRow="0" w:firstColumn="1" w:lastColumn="0" w:noHBand="0" w:noVBand="1"/>
      </w:tblPr>
      <w:tblGrid>
        <w:gridCol w:w="741"/>
        <w:gridCol w:w="7269"/>
      </w:tblGrid>
      <w:tr w:rsidR="004666CE" w:rsidTr="00471EC9">
        <w:tc>
          <w:tcPr>
            <w:tcW w:w="741" w:type="dxa"/>
            <w:shd w:val="clear" w:color="auto" w:fill="D9D9D9" w:themeFill="background1" w:themeFillShade="D9"/>
          </w:tcPr>
          <w:p w:rsidR="004666CE" w:rsidRDefault="00783AB0" w:rsidP="00DB78BD">
            <w:proofErr w:type="spellStart"/>
            <w:r>
              <w:rPr>
                <w:szCs w:val="24"/>
              </w:rPr>
              <w:t>i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7269" w:type="dxa"/>
            <w:shd w:val="clear" w:color="auto" w:fill="D9D9D9" w:themeFill="background1" w:themeFillShade="D9"/>
          </w:tcPr>
          <w:p w:rsidR="004666CE" w:rsidRDefault="00783AB0" w:rsidP="00DB78BD">
            <w:r>
              <w:rPr>
                <w:szCs w:val="24"/>
              </w:rPr>
              <w:t>The initial implementation of an accounting standard or policy</w:t>
            </w:r>
          </w:p>
        </w:tc>
      </w:tr>
      <w:tr w:rsidR="00783AB0" w:rsidTr="00471EC9">
        <w:tc>
          <w:tcPr>
            <w:tcW w:w="741" w:type="dxa"/>
            <w:tcBorders>
              <w:bottom w:val="single" w:sz="4" w:space="0" w:color="auto"/>
            </w:tcBorders>
          </w:tcPr>
          <w:p w:rsidR="00783AB0" w:rsidRDefault="00783AB0" w:rsidP="00DB78BD">
            <w:pPr>
              <w:rPr>
                <w:szCs w:val="24"/>
              </w:rPr>
            </w:pPr>
          </w:p>
        </w:tc>
        <w:tc>
          <w:tcPr>
            <w:tcW w:w="7269" w:type="dxa"/>
            <w:tcBorders>
              <w:bottom w:val="single" w:sz="4" w:space="0" w:color="auto"/>
            </w:tcBorders>
          </w:tcPr>
          <w:p w:rsidR="00783AB0" w:rsidRPr="00783AB0" w:rsidRDefault="00783AB0" w:rsidP="00783AB0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None for 2013</w:t>
            </w:r>
          </w:p>
        </w:tc>
      </w:tr>
      <w:tr w:rsidR="004666CE" w:rsidRPr="00783AB0" w:rsidTr="00471EC9">
        <w:tc>
          <w:tcPr>
            <w:tcW w:w="741" w:type="dxa"/>
            <w:shd w:val="clear" w:color="auto" w:fill="D9D9D9" w:themeFill="background1" w:themeFillShade="D9"/>
          </w:tcPr>
          <w:p w:rsidR="004666CE" w:rsidRPr="00783AB0" w:rsidRDefault="00783AB0" w:rsidP="00DB78BD">
            <w:pPr>
              <w:rPr>
                <w:szCs w:val="24"/>
              </w:rPr>
            </w:pPr>
            <w:r>
              <w:rPr>
                <w:szCs w:val="24"/>
              </w:rPr>
              <w:t>ii.</w:t>
            </w:r>
          </w:p>
        </w:tc>
        <w:tc>
          <w:tcPr>
            <w:tcW w:w="7269" w:type="dxa"/>
            <w:shd w:val="clear" w:color="auto" w:fill="D9D9D9" w:themeFill="background1" w:themeFillShade="D9"/>
          </w:tcPr>
          <w:p w:rsidR="004666CE" w:rsidRPr="00783AB0" w:rsidRDefault="00783AB0" w:rsidP="00783AB0">
            <w:pPr>
              <w:rPr>
                <w:szCs w:val="24"/>
              </w:rPr>
            </w:pPr>
            <w:r>
              <w:rPr>
                <w:szCs w:val="24"/>
              </w:rPr>
              <w:t>The initial implementation of accounting practices for unusual or unconventional items where FERC has not provided specific accounting direction</w:t>
            </w:r>
          </w:p>
        </w:tc>
      </w:tr>
      <w:tr w:rsidR="00783AB0" w:rsidTr="00471EC9">
        <w:tc>
          <w:tcPr>
            <w:tcW w:w="741" w:type="dxa"/>
            <w:tcBorders>
              <w:bottom w:val="single" w:sz="4" w:space="0" w:color="auto"/>
            </w:tcBorders>
          </w:tcPr>
          <w:p w:rsidR="00783AB0" w:rsidRDefault="00783AB0" w:rsidP="00DB78BD"/>
        </w:tc>
        <w:tc>
          <w:tcPr>
            <w:tcW w:w="7269" w:type="dxa"/>
            <w:tcBorders>
              <w:bottom w:val="single" w:sz="4" w:space="0" w:color="auto"/>
            </w:tcBorders>
          </w:tcPr>
          <w:p w:rsidR="00783AB0" w:rsidRPr="00783AB0" w:rsidRDefault="00783AB0" w:rsidP="00783AB0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None for 2013</w:t>
            </w:r>
          </w:p>
        </w:tc>
      </w:tr>
      <w:tr w:rsidR="004666CE" w:rsidTr="00471EC9">
        <w:tc>
          <w:tcPr>
            <w:tcW w:w="741" w:type="dxa"/>
            <w:shd w:val="clear" w:color="auto" w:fill="D9D9D9" w:themeFill="background1" w:themeFillShade="D9"/>
          </w:tcPr>
          <w:p w:rsidR="004666CE" w:rsidRDefault="00783AB0" w:rsidP="00DB78BD">
            <w:r>
              <w:t>iii.</w:t>
            </w:r>
          </w:p>
        </w:tc>
        <w:tc>
          <w:tcPr>
            <w:tcW w:w="7269" w:type="dxa"/>
            <w:shd w:val="clear" w:color="auto" w:fill="D9D9D9" w:themeFill="background1" w:themeFillShade="D9"/>
          </w:tcPr>
          <w:p w:rsidR="004666CE" w:rsidRDefault="00783AB0" w:rsidP="00DB78BD">
            <w:r>
              <w:rPr>
                <w:szCs w:val="24"/>
              </w:rPr>
              <w:t>Correction of errors and prior period adjustments that impact the revenue requirement</w:t>
            </w:r>
          </w:p>
        </w:tc>
      </w:tr>
      <w:tr w:rsidR="00783AB0" w:rsidTr="00471EC9">
        <w:tc>
          <w:tcPr>
            <w:tcW w:w="741" w:type="dxa"/>
            <w:tcBorders>
              <w:bottom w:val="single" w:sz="4" w:space="0" w:color="auto"/>
            </w:tcBorders>
          </w:tcPr>
          <w:p w:rsidR="00783AB0" w:rsidRDefault="00783AB0" w:rsidP="00DB78BD"/>
        </w:tc>
        <w:tc>
          <w:tcPr>
            <w:tcW w:w="7269" w:type="dxa"/>
            <w:tcBorders>
              <w:bottom w:val="single" w:sz="4" w:space="0" w:color="auto"/>
            </w:tcBorders>
          </w:tcPr>
          <w:p w:rsidR="00783AB0" w:rsidRDefault="00783AB0" w:rsidP="00DB78BD">
            <w:pPr>
              <w:rPr>
                <w:szCs w:val="24"/>
              </w:rPr>
            </w:pPr>
          </w:p>
        </w:tc>
      </w:tr>
      <w:tr w:rsidR="00783AB0" w:rsidTr="00471EC9">
        <w:tc>
          <w:tcPr>
            <w:tcW w:w="741" w:type="dxa"/>
            <w:shd w:val="clear" w:color="auto" w:fill="D9D9D9" w:themeFill="background1" w:themeFillShade="D9"/>
          </w:tcPr>
          <w:p w:rsidR="00783AB0" w:rsidRDefault="00783AB0" w:rsidP="00DB78BD">
            <w:r>
              <w:t>iv.</w:t>
            </w:r>
          </w:p>
        </w:tc>
        <w:tc>
          <w:tcPr>
            <w:tcW w:w="7269" w:type="dxa"/>
            <w:shd w:val="clear" w:color="auto" w:fill="D9D9D9" w:themeFill="background1" w:themeFillShade="D9"/>
          </w:tcPr>
          <w:p w:rsidR="00783AB0" w:rsidRDefault="00783AB0" w:rsidP="00783AB0">
            <w:pPr>
              <w:rPr>
                <w:szCs w:val="24"/>
              </w:rPr>
            </w:pPr>
            <w:r>
              <w:rPr>
                <w:szCs w:val="24"/>
              </w:rPr>
              <w:t>The implementation of new estimation methods or policies that change prior estimates</w:t>
            </w:r>
          </w:p>
        </w:tc>
      </w:tr>
      <w:tr w:rsidR="00783AB0" w:rsidTr="00471EC9">
        <w:tc>
          <w:tcPr>
            <w:tcW w:w="741" w:type="dxa"/>
            <w:tcBorders>
              <w:bottom w:val="single" w:sz="4" w:space="0" w:color="auto"/>
            </w:tcBorders>
          </w:tcPr>
          <w:p w:rsidR="00783AB0" w:rsidRDefault="00783AB0" w:rsidP="00DB78BD"/>
        </w:tc>
        <w:tc>
          <w:tcPr>
            <w:tcW w:w="7269" w:type="dxa"/>
            <w:tcBorders>
              <w:bottom w:val="single" w:sz="4" w:space="0" w:color="auto"/>
            </w:tcBorders>
          </w:tcPr>
          <w:p w:rsidR="00783AB0" w:rsidRDefault="00783AB0" w:rsidP="00783AB0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In February 2013, ESI modified the cost allocation methodologies that were based on high voltage substations to include any substation with 69kV or higher.  The revision caused a shift in</w:t>
            </w:r>
            <w:r w:rsidR="00CB40E6">
              <w:rPr>
                <w:szCs w:val="24"/>
              </w:rPr>
              <w:t xml:space="preserve"> allocation percentages</w:t>
            </w:r>
            <w:r>
              <w:rPr>
                <w:szCs w:val="24"/>
              </w:rPr>
              <w:t xml:space="preserve">  </w:t>
            </w:r>
            <w:r w:rsidR="00CB40E6">
              <w:rPr>
                <w:szCs w:val="24"/>
              </w:rPr>
              <w:t>among the OPCOs – EAI ($306,483); ELL ($141,844); EGSL $369,405; EMI ($169,505); ENOI ($29,458); ETI $277,886</w:t>
            </w:r>
          </w:p>
          <w:p w:rsidR="003B6D5B" w:rsidRDefault="003B6D5B" w:rsidP="00783AB0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In June 2013, Entergy began recording transmission facility charges in FERC account 565 rather than Transmission rent account 567 for charges paid to third parties for the use of its assets.</w:t>
            </w:r>
          </w:p>
          <w:p w:rsidR="00471EC9" w:rsidRDefault="00471EC9" w:rsidP="00783AB0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Effective in October 2013, Entergy began charging communications charges tracked in activity code TCPO to functional accounts rather than account 930.2.  </w:t>
            </w:r>
          </w:p>
          <w:p w:rsidR="00CB40E6" w:rsidRPr="00783AB0" w:rsidRDefault="00CB40E6" w:rsidP="00CB40E6">
            <w:pPr>
              <w:pStyle w:val="ListParagraph"/>
              <w:rPr>
                <w:szCs w:val="24"/>
              </w:rPr>
            </w:pPr>
          </w:p>
        </w:tc>
      </w:tr>
      <w:tr w:rsidR="00783AB0" w:rsidTr="00471EC9">
        <w:tc>
          <w:tcPr>
            <w:tcW w:w="741" w:type="dxa"/>
            <w:tcBorders>
              <w:bottom w:val="single" w:sz="4" w:space="0" w:color="auto"/>
            </w:tcBorders>
          </w:tcPr>
          <w:p w:rsidR="00783AB0" w:rsidRDefault="00783AB0" w:rsidP="00DB78BD"/>
        </w:tc>
        <w:tc>
          <w:tcPr>
            <w:tcW w:w="7269" w:type="dxa"/>
            <w:tcBorders>
              <w:bottom w:val="single" w:sz="4" w:space="0" w:color="auto"/>
            </w:tcBorders>
          </w:tcPr>
          <w:p w:rsidR="00783AB0" w:rsidRDefault="00783AB0" w:rsidP="00DB78BD">
            <w:pPr>
              <w:rPr>
                <w:szCs w:val="24"/>
              </w:rPr>
            </w:pPr>
          </w:p>
        </w:tc>
      </w:tr>
      <w:tr w:rsidR="00783AB0" w:rsidTr="00471EC9">
        <w:tc>
          <w:tcPr>
            <w:tcW w:w="741" w:type="dxa"/>
            <w:shd w:val="clear" w:color="auto" w:fill="D9D9D9" w:themeFill="background1" w:themeFillShade="D9"/>
          </w:tcPr>
          <w:p w:rsidR="00783AB0" w:rsidRDefault="00783AB0" w:rsidP="00DB78BD">
            <w:r>
              <w:t>v.</w:t>
            </w:r>
          </w:p>
        </w:tc>
        <w:tc>
          <w:tcPr>
            <w:tcW w:w="7269" w:type="dxa"/>
            <w:shd w:val="clear" w:color="auto" w:fill="D9D9D9" w:themeFill="background1" w:themeFillShade="D9"/>
          </w:tcPr>
          <w:p w:rsidR="00783AB0" w:rsidRDefault="00471EC9" w:rsidP="00DB78BD">
            <w:pPr>
              <w:rPr>
                <w:szCs w:val="24"/>
              </w:rPr>
            </w:pPr>
            <w:r>
              <w:rPr>
                <w:szCs w:val="24"/>
              </w:rPr>
              <w:t>Changes to income tax elections</w:t>
            </w:r>
          </w:p>
        </w:tc>
      </w:tr>
      <w:tr w:rsidR="00783AB0" w:rsidTr="00471EC9">
        <w:tc>
          <w:tcPr>
            <w:tcW w:w="741" w:type="dxa"/>
          </w:tcPr>
          <w:p w:rsidR="00783AB0" w:rsidRDefault="00783AB0" w:rsidP="00DB78BD"/>
        </w:tc>
        <w:tc>
          <w:tcPr>
            <w:tcW w:w="7269" w:type="dxa"/>
          </w:tcPr>
          <w:p w:rsidR="00783AB0" w:rsidRDefault="00783AB0" w:rsidP="00DB78BD">
            <w:pPr>
              <w:rPr>
                <w:szCs w:val="24"/>
              </w:rPr>
            </w:pPr>
          </w:p>
        </w:tc>
      </w:tr>
    </w:tbl>
    <w:p w:rsidR="00DB78BD" w:rsidRDefault="00DB78BD" w:rsidP="00DB78BD"/>
    <w:p w:rsidR="00471EC9" w:rsidRDefault="00DB78BD" w:rsidP="00471EC9">
      <w:pPr>
        <w:ind w:left="1440" w:hanging="810"/>
        <w:rPr>
          <w:szCs w:val="24"/>
        </w:rPr>
      </w:pPr>
      <w:r>
        <w:rPr>
          <w:szCs w:val="24"/>
        </w:rPr>
        <w:t>b.</w:t>
      </w:r>
      <w:r>
        <w:rPr>
          <w:szCs w:val="24"/>
        </w:rPr>
        <w:tab/>
        <w:t>Identify items included in the formula rate at an amount other than on a historic cost basis (e.g., fair value adjustments)</w:t>
      </w:r>
    </w:p>
    <w:p w:rsidR="00471EC9" w:rsidRDefault="00471EC9" w:rsidP="00471EC9">
      <w:pPr>
        <w:ind w:left="1440" w:hanging="810"/>
        <w:rPr>
          <w:szCs w:val="24"/>
        </w:rPr>
      </w:pPr>
    </w:p>
    <w:tbl>
      <w:tblPr>
        <w:tblStyle w:val="TableGrid"/>
        <w:tblW w:w="8010" w:type="dxa"/>
        <w:tblInd w:w="1548" w:type="dxa"/>
        <w:tblLook w:val="04A0" w:firstRow="1" w:lastRow="0" w:firstColumn="1" w:lastColumn="0" w:noHBand="0" w:noVBand="1"/>
      </w:tblPr>
      <w:tblGrid>
        <w:gridCol w:w="741"/>
        <w:gridCol w:w="7269"/>
      </w:tblGrid>
      <w:tr w:rsidR="00471EC9" w:rsidTr="00471EC9">
        <w:tc>
          <w:tcPr>
            <w:tcW w:w="741" w:type="dxa"/>
            <w:shd w:val="clear" w:color="auto" w:fill="auto"/>
          </w:tcPr>
          <w:p w:rsidR="00471EC9" w:rsidRDefault="00471EC9" w:rsidP="000155D8"/>
        </w:tc>
        <w:tc>
          <w:tcPr>
            <w:tcW w:w="7269" w:type="dxa"/>
            <w:shd w:val="clear" w:color="auto" w:fill="auto"/>
          </w:tcPr>
          <w:p w:rsidR="00471EC9" w:rsidRDefault="00471EC9" w:rsidP="000155D8">
            <w:r>
              <w:rPr>
                <w:szCs w:val="24"/>
              </w:rPr>
              <w:t>-N/A Entergy’s current formula is on an historical basis</w:t>
            </w:r>
          </w:p>
        </w:tc>
      </w:tr>
    </w:tbl>
    <w:p w:rsidR="00471EC9" w:rsidRDefault="00471EC9" w:rsidP="00471EC9">
      <w:pPr>
        <w:ind w:left="1440" w:hanging="810"/>
        <w:rPr>
          <w:szCs w:val="24"/>
        </w:rPr>
      </w:pPr>
    </w:p>
    <w:p w:rsidR="00471EC9" w:rsidRDefault="00DB78BD" w:rsidP="00471EC9">
      <w:pPr>
        <w:ind w:left="1440" w:hanging="810"/>
        <w:rPr>
          <w:szCs w:val="24"/>
        </w:rPr>
      </w:pPr>
      <w:r>
        <w:rPr>
          <w:szCs w:val="24"/>
        </w:rPr>
        <w:t>c.</w:t>
      </w:r>
      <w:r>
        <w:rPr>
          <w:szCs w:val="24"/>
        </w:rPr>
        <w:tab/>
        <w:t>Identify any reorganization or merger transaction during the previous year and explain the effect of the accounting for such transaction(s) on inputs to the formula rate</w:t>
      </w:r>
    </w:p>
    <w:p w:rsidR="00471EC9" w:rsidRDefault="00471EC9" w:rsidP="00471EC9">
      <w:pPr>
        <w:ind w:left="1440" w:hanging="810"/>
        <w:rPr>
          <w:szCs w:val="24"/>
        </w:rPr>
      </w:pPr>
    </w:p>
    <w:tbl>
      <w:tblPr>
        <w:tblStyle w:val="TableGrid"/>
        <w:tblW w:w="8010" w:type="dxa"/>
        <w:tblInd w:w="1548" w:type="dxa"/>
        <w:tblLook w:val="04A0" w:firstRow="1" w:lastRow="0" w:firstColumn="1" w:lastColumn="0" w:noHBand="0" w:noVBand="1"/>
      </w:tblPr>
      <w:tblGrid>
        <w:gridCol w:w="741"/>
        <w:gridCol w:w="7269"/>
      </w:tblGrid>
      <w:tr w:rsidR="00471EC9" w:rsidTr="000155D8">
        <w:tc>
          <w:tcPr>
            <w:tcW w:w="741" w:type="dxa"/>
            <w:shd w:val="clear" w:color="auto" w:fill="auto"/>
          </w:tcPr>
          <w:p w:rsidR="00471EC9" w:rsidRDefault="00471EC9" w:rsidP="000155D8"/>
        </w:tc>
        <w:tc>
          <w:tcPr>
            <w:tcW w:w="7269" w:type="dxa"/>
            <w:shd w:val="clear" w:color="auto" w:fill="auto"/>
          </w:tcPr>
          <w:p w:rsidR="00471EC9" w:rsidRDefault="00471EC9" w:rsidP="00471EC9"/>
        </w:tc>
      </w:tr>
    </w:tbl>
    <w:p w:rsidR="00471EC9" w:rsidRDefault="00471EC9" w:rsidP="00471EC9">
      <w:pPr>
        <w:ind w:left="1440" w:hanging="810"/>
        <w:rPr>
          <w:szCs w:val="24"/>
        </w:rPr>
      </w:pPr>
    </w:p>
    <w:p w:rsidR="00DB78BD" w:rsidRDefault="00DB78BD" w:rsidP="00471EC9">
      <w:pPr>
        <w:ind w:left="1440" w:hanging="810"/>
        <w:rPr>
          <w:szCs w:val="24"/>
        </w:rPr>
      </w:pPr>
      <w:r>
        <w:rPr>
          <w:szCs w:val="24"/>
        </w:rPr>
        <w:t>d.</w:t>
      </w:r>
      <w:r w:rsidR="00471EC9">
        <w:rPr>
          <w:szCs w:val="24"/>
        </w:rPr>
        <w:tab/>
      </w:r>
      <w:r>
        <w:rPr>
          <w:szCs w:val="24"/>
        </w:rPr>
        <w:t>Provide, for each item identified pursuant to items II.D.8.a - II.D.8.c of these protocols, a narrative explanation of the individual impact of such changes on charges billed under the formula rate.</w:t>
      </w:r>
    </w:p>
    <w:p w:rsidR="00471EC9" w:rsidRDefault="00471EC9" w:rsidP="00471EC9">
      <w:pPr>
        <w:ind w:left="1440" w:hanging="810"/>
        <w:rPr>
          <w:szCs w:val="24"/>
        </w:rPr>
      </w:pPr>
    </w:p>
    <w:tbl>
      <w:tblPr>
        <w:tblStyle w:val="TableGrid"/>
        <w:tblW w:w="8010" w:type="dxa"/>
        <w:tblInd w:w="1548" w:type="dxa"/>
        <w:tblLook w:val="04A0" w:firstRow="1" w:lastRow="0" w:firstColumn="1" w:lastColumn="0" w:noHBand="0" w:noVBand="1"/>
      </w:tblPr>
      <w:tblGrid>
        <w:gridCol w:w="741"/>
        <w:gridCol w:w="7269"/>
      </w:tblGrid>
      <w:tr w:rsidR="00471EC9" w:rsidTr="000155D8">
        <w:tc>
          <w:tcPr>
            <w:tcW w:w="741" w:type="dxa"/>
            <w:shd w:val="clear" w:color="auto" w:fill="auto"/>
          </w:tcPr>
          <w:p w:rsidR="00471EC9" w:rsidRDefault="00471EC9" w:rsidP="000155D8"/>
        </w:tc>
        <w:tc>
          <w:tcPr>
            <w:tcW w:w="7269" w:type="dxa"/>
            <w:shd w:val="clear" w:color="auto" w:fill="auto"/>
          </w:tcPr>
          <w:p w:rsidR="00BD412E" w:rsidRDefault="006A69AF" w:rsidP="00C2752B">
            <w:pPr>
              <w:rPr>
                <w:szCs w:val="24"/>
              </w:rPr>
            </w:pPr>
            <w:r w:rsidRPr="00471EC9">
              <w:rPr>
                <w:szCs w:val="24"/>
              </w:rPr>
              <w:t>II.D.8</w:t>
            </w:r>
            <w:r>
              <w:rPr>
                <w:szCs w:val="24"/>
              </w:rPr>
              <w:t>.a.iv</w:t>
            </w:r>
            <w:r w:rsidR="00EE6CA1">
              <w:rPr>
                <w:szCs w:val="24"/>
              </w:rPr>
              <w:t xml:space="preserve"> – Accounting Changes: New estimation methods or policy changes</w:t>
            </w:r>
          </w:p>
          <w:p w:rsidR="00A767CF" w:rsidRDefault="006A69AF" w:rsidP="004F494B">
            <w:pPr>
              <w:ind w:left="411" w:hanging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2752B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C2752B">
              <w:rPr>
                <w:szCs w:val="24"/>
              </w:rPr>
              <w:t xml:space="preserve">The February 2013 modification of cost allocation methodologies </w:t>
            </w:r>
            <w:r w:rsidR="00BD412E">
              <w:rPr>
                <w:szCs w:val="24"/>
              </w:rPr>
              <w:t xml:space="preserve">based on high voltage substations </w:t>
            </w:r>
            <w:r w:rsidR="00C2752B">
              <w:rPr>
                <w:szCs w:val="24"/>
              </w:rPr>
              <w:t xml:space="preserve">to include any substation 69KV or higher </w:t>
            </w:r>
            <w:r w:rsidR="00A767CF">
              <w:rPr>
                <w:szCs w:val="24"/>
              </w:rPr>
              <w:t xml:space="preserve">voltage </w:t>
            </w:r>
            <w:r w:rsidR="00C2752B">
              <w:rPr>
                <w:szCs w:val="24"/>
              </w:rPr>
              <w:t>was</w:t>
            </w:r>
            <w:r w:rsidR="00DC7282">
              <w:rPr>
                <w:szCs w:val="24"/>
              </w:rPr>
              <w:t xml:space="preserve"> </w:t>
            </w:r>
            <w:r w:rsidR="00C2752B">
              <w:rPr>
                <w:szCs w:val="24"/>
              </w:rPr>
              <w:t>immaterial</w:t>
            </w:r>
            <w:r w:rsidR="00DC7282">
              <w:rPr>
                <w:szCs w:val="24"/>
              </w:rPr>
              <w:t xml:space="preserve"> </w:t>
            </w:r>
            <w:r w:rsidR="00B56D49">
              <w:rPr>
                <w:szCs w:val="24"/>
              </w:rPr>
              <w:t xml:space="preserve">to the </w:t>
            </w:r>
            <w:r w:rsidR="00DC7282">
              <w:rPr>
                <w:szCs w:val="24"/>
              </w:rPr>
              <w:t>charges billed under the formula rate.</w:t>
            </w:r>
            <w:r w:rsidR="00BD412E" w:rsidRPr="00A767CF">
              <w:rPr>
                <w:szCs w:val="24"/>
              </w:rPr>
              <w:t xml:space="preserve"> </w:t>
            </w:r>
          </w:p>
          <w:p w:rsidR="00471EC9" w:rsidRDefault="00A767CF" w:rsidP="00DC7282">
            <w:pPr>
              <w:ind w:left="411" w:hanging="270"/>
              <w:rPr>
                <w:szCs w:val="24"/>
              </w:rPr>
            </w:pPr>
            <w:r>
              <w:rPr>
                <w:szCs w:val="24"/>
              </w:rPr>
              <w:t xml:space="preserve">– The </w:t>
            </w:r>
            <w:r w:rsidR="00A52DDE">
              <w:rPr>
                <w:szCs w:val="24"/>
              </w:rPr>
              <w:t xml:space="preserve">June 2013 change to record transmission facility charge payments </w:t>
            </w:r>
            <w:r w:rsidR="00DC7282">
              <w:rPr>
                <w:szCs w:val="24"/>
              </w:rPr>
              <w:t xml:space="preserve">in FERC Account 565 (Transmission of Electricity by Others) rather than Account 567 (Transmission Rents) </w:t>
            </w:r>
            <w:r w:rsidR="00A52DDE">
              <w:rPr>
                <w:szCs w:val="24"/>
              </w:rPr>
              <w:t>for the use of th</w:t>
            </w:r>
            <w:r w:rsidR="00DC7282">
              <w:rPr>
                <w:szCs w:val="24"/>
              </w:rPr>
              <w:t xml:space="preserve">ird party transmission </w:t>
            </w:r>
            <w:r w:rsidR="00A52DDE">
              <w:rPr>
                <w:szCs w:val="24"/>
              </w:rPr>
              <w:t>asse</w:t>
            </w:r>
            <w:r w:rsidR="00DC7282">
              <w:rPr>
                <w:szCs w:val="24"/>
              </w:rPr>
              <w:t xml:space="preserve">ts was immaterial </w:t>
            </w:r>
            <w:r w:rsidR="00B56D49">
              <w:rPr>
                <w:szCs w:val="24"/>
              </w:rPr>
              <w:t xml:space="preserve">to the </w:t>
            </w:r>
            <w:r w:rsidR="00DC7282">
              <w:rPr>
                <w:szCs w:val="24"/>
              </w:rPr>
              <w:t>charges billed under the formula rate.</w:t>
            </w:r>
          </w:p>
          <w:p w:rsidR="0079421D" w:rsidRDefault="0079421D" w:rsidP="00C069A3">
            <w:pPr>
              <w:ind w:left="411" w:hanging="270"/>
              <w:rPr>
                <w:szCs w:val="24"/>
              </w:rPr>
            </w:pPr>
            <w:r>
              <w:rPr>
                <w:szCs w:val="24"/>
              </w:rPr>
              <w:t>– The October 2013 change to record communications charges tracked in Activity Code TCPO to functional accounts rather th</w:t>
            </w:r>
            <w:r w:rsidR="00EE6CA1">
              <w:rPr>
                <w:szCs w:val="24"/>
              </w:rPr>
              <w:t xml:space="preserve">an FERC Account 930.2 </w:t>
            </w:r>
            <w:r w:rsidR="00B56D49">
              <w:rPr>
                <w:szCs w:val="24"/>
              </w:rPr>
              <w:t>wa</w:t>
            </w:r>
            <w:r w:rsidR="00EE6CA1">
              <w:rPr>
                <w:szCs w:val="24"/>
              </w:rPr>
              <w:t xml:space="preserve">s immaterial </w:t>
            </w:r>
            <w:r w:rsidR="00B56D49">
              <w:rPr>
                <w:szCs w:val="24"/>
              </w:rPr>
              <w:t xml:space="preserve">to the </w:t>
            </w:r>
            <w:r w:rsidR="00EE6CA1">
              <w:rPr>
                <w:szCs w:val="24"/>
              </w:rPr>
              <w:t>charges billed under the formula rate</w:t>
            </w:r>
            <w:r>
              <w:rPr>
                <w:szCs w:val="24"/>
              </w:rPr>
              <w:t>.</w:t>
            </w:r>
          </w:p>
          <w:p w:rsidR="00EE6CA1" w:rsidRPr="00A767CF" w:rsidRDefault="00EE6CA1" w:rsidP="00B704CF">
            <w:pPr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471EC9" w:rsidRDefault="00471EC9" w:rsidP="00471EC9">
      <w:pPr>
        <w:ind w:left="1440" w:hanging="810"/>
        <w:rPr>
          <w:szCs w:val="24"/>
        </w:rPr>
      </w:pPr>
    </w:p>
    <w:p w:rsidR="0062534E" w:rsidRDefault="0062534E"/>
    <w:sectPr w:rsidR="00625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0C2"/>
    <w:multiLevelType w:val="hybridMultilevel"/>
    <w:tmpl w:val="B2284F3E"/>
    <w:lvl w:ilvl="0" w:tplc="67B884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BD"/>
    <w:rsid w:val="00106A17"/>
    <w:rsid w:val="00181C40"/>
    <w:rsid w:val="00296535"/>
    <w:rsid w:val="002E216D"/>
    <w:rsid w:val="003B6D5B"/>
    <w:rsid w:val="004666CE"/>
    <w:rsid w:val="00471EC9"/>
    <w:rsid w:val="004F494B"/>
    <w:rsid w:val="00545C36"/>
    <w:rsid w:val="0062534E"/>
    <w:rsid w:val="006612C4"/>
    <w:rsid w:val="006A69AF"/>
    <w:rsid w:val="00783AB0"/>
    <w:rsid w:val="0079421D"/>
    <w:rsid w:val="007E08B5"/>
    <w:rsid w:val="008930C7"/>
    <w:rsid w:val="00996189"/>
    <w:rsid w:val="00A17203"/>
    <w:rsid w:val="00A24D51"/>
    <w:rsid w:val="00A47EC1"/>
    <w:rsid w:val="00A52DDE"/>
    <w:rsid w:val="00A767CF"/>
    <w:rsid w:val="00B56D49"/>
    <w:rsid w:val="00B704CF"/>
    <w:rsid w:val="00BD412E"/>
    <w:rsid w:val="00C069A3"/>
    <w:rsid w:val="00C2752B"/>
    <w:rsid w:val="00CA3DBA"/>
    <w:rsid w:val="00CB40E6"/>
    <w:rsid w:val="00DB78BD"/>
    <w:rsid w:val="00DC7282"/>
    <w:rsid w:val="00E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B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B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Entergy User</dc:creator>
  <cp:lastModifiedBy>lsande2</cp:lastModifiedBy>
  <cp:revision>2</cp:revision>
  <cp:lastPrinted>2014-05-29T13:20:00Z</cp:lastPrinted>
  <dcterms:created xsi:type="dcterms:W3CDTF">2014-05-29T20:42:00Z</dcterms:created>
  <dcterms:modified xsi:type="dcterms:W3CDTF">2014-05-29T20:42:00Z</dcterms:modified>
</cp:coreProperties>
</file>